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DA6677" w:rsidTr="008A09AE">
        <w:tc>
          <w:tcPr>
            <w:tcW w:w="2127" w:type="dxa"/>
          </w:tcPr>
          <w:p w:rsidR="00C77A81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141821" w:rsidRDefault="00512360" w:rsidP="00A120F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txtbold"/>
                <w:rFonts w:ascii="Arial Narrow" w:hAnsi="Arial Narrow"/>
                <w:sz w:val="22"/>
                <w:szCs w:val="22"/>
              </w:rPr>
              <w:t>416</w:t>
            </w:r>
            <w:r w:rsidR="0006780C">
              <w:rPr>
                <w:rStyle w:val="txtbold"/>
                <w:rFonts w:ascii="Arial Narrow" w:hAnsi="Arial Narrow"/>
                <w:sz w:val="22"/>
                <w:szCs w:val="22"/>
              </w:rPr>
              <w:t>/2023</w:t>
            </w:r>
            <w:r w:rsidR="00144AAE" w:rsidRPr="00141821">
              <w:rPr>
                <w:rStyle w:val="txtbold"/>
                <w:rFonts w:ascii="Arial Narrow" w:hAnsi="Arial Narrow"/>
                <w:sz w:val="22"/>
                <w:szCs w:val="22"/>
              </w:rPr>
              <w:t>-TERMO DE COLABORAÇÃO-SEAGRI</w:t>
            </w:r>
          </w:p>
        </w:tc>
      </w:tr>
      <w:tr w:rsidR="007F34D0" w:rsidRPr="00DA6677" w:rsidTr="008A09AE">
        <w:tc>
          <w:tcPr>
            <w:tcW w:w="2127" w:type="dxa"/>
          </w:tcPr>
          <w:p w:rsidR="007F34D0" w:rsidRPr="00053203" w:rsidRDefault="00144AAE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141821" w:rsidRDefault="00144AAE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141821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DA6677" w:rsidTr="00A65DF9">
        <w:tc>
          <w:tcPr>
            <w:tcW w:w="2127" w:type="dxa"/>
          </w:tcPr>
          <w:p w:rsidR="008A09AE" w:rsidRPr="00053203" w:rsidRDefault="008A09AE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141821" w:rsidRDefault="008A09AE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141821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B44A39" w:rsidTr="008A09AE">
        <w:tc>
          <w:tcPr>
            <w:tcW w:w="2127" w:type="dxa"/>
          </w:tcPr>
          <w:p w:rsidR="00144AAE" w:rsidRPr="00B44A39" w:rsidRDefault="00B44A39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44A39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B44A39" w:rsidRDefault="00B44A39" w:rsidP="00401EE8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B44A39">
              <w:rPr>
                <w:rStyle w:val="whitespacewrap"/>
                <w:rFonts w:ascii="Arial Narrow" w:hAnsi="Arial Narrow"/>
                <w:sz w:val="22"/>
                <w:szCs w:val="22"/>
              </w:rPr>
              <w:t>DEPUTADA MARIA MENDONÇA</w:t>
            </w:r>
          </w:p>
        </w:tc>
      </w:tr>
      <w:tr w:rsidR="00C77A81" w:rsidRPr="00B44A39" w:rsidTr="008A09AE">
        <w:tc>
          <w:tcPr>
            <w:tcW w:w="2127" w:type="dxa"/>
          </w:tcPr>
          <w:p w:rsidR="00C77A81" w:rsidRPr="00B44A39" w:rsidRDefault="00B44A39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44A39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B44A39" w:rsidRDefault="00B44A39" w:rsidP="00424362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44A39">
              <w:rPr>
                <w:rFonts w:ascii="Arial Narrow" w:hAnsi="Arial Narrow"/>
                <w:sz w:val="22"/>
                <w:szCs w:val="22"/>
              </w:rPr>
              <w:t>ASSOCIAÇÃO DOS PROD. RURAIS DA COMUNIDADE DE CRAIBEIRO</w:t>
            </w:r>
            <w:r w:rsidR="00DF1BA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B527A6" w:rsidRPr="00B44A39" w:rsidTr="008A09AE">
        <w:tc>
          <w:tcPr>
            <w:tcW w:w="2127" w:type="dxa"/>
          </w:tcPr>
          <w:p w:rsidR="00B527A6" w:rsidRPr="00B44A39" w:rsidRDefault="00B44A39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44A39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B44A39" w:rsidRDefault="00B44A39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B44A39">
              <w:rPr>
                <w:rFonts w:ascii="Arial Narrow" w:hAnsi="Arial Narrow"/>
                <w:sz w:val="22"/>
                <w:szCs w:val="22"/>
              </w:rPr>
              <w:t>32.712.010/0001-46</w:t>
            </w:r>
          </w:p>
        </w:tc>
      </w:tr>
      <w:tr w:rsidR="00B527A6" w:rsidRPr="00B44A39" w:rsidTr="008A09AE">
        <w:tc>
          <w:tcPr>
            <w:tcW w:w="2127" w:type="dxa"/>
          </w:tcPr>
          <w:p w:rsidR="00B527A6" w:rsidRPr="00B44A39" w:rsidRDefault="00B44A39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44A39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B44A39" w:rsidRDefault="00B44A39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B44A39">
              <w:rPr>
                <w:rFonts w:ascii="Arial Narrow" w:hAnsi="Arial Narrow"/>
                <w:sz w:val="22"/>
                <w:szCs w:val="22"/>
              </w:rPr>
              <w:t>POVOADO CRAIBEIRO, S/N, NO MUNICÍPIO DE PORTO DA FOLHA, CEP: 49.800-</w:t>
            </w:r>
            <w:proofErr w:type="gramStart"/>
            <w:r w:rsidRPr="00B44A39">
              <w:rPr>
                <w:rFonts w:ascii="Arial Narrow" w:hAnsi="Arial Narrow"/>
                <w:sz w:val="22"/>
                <w:szCs w:val="22"/>
              </w:rPr>
              <w:t>000</w:t>
            </w:r>
            <w:proofErr w:type="gramEnd"/>
          </w:p>
        </w:tc>
      </w:tr>
      <w:tr w:rsidR="00C77A81" w:rsidRPr="00B44A39" w:rsidTr="008A09AE">
        <w:tc>
          <w:tcPr>
            <w:tcW w:w="2127" w:type="dxa"/>
          </w:tcPr>
          <w:p w:rsidR="00C77A81" w:rsidRPr="00B44A39" w:rsidRDefault="00B44A39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44A39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B44A39" w:rsidRDefault="00B44A39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44A39">
              <w:rPr>
                <w:rFonts w:ascii="Arial Narrow" w:hAnsi="Arial Narrow"/>
                <w:sz w:val="22"/>
                <w:szCs w:val="22"/>
              </w:rPr>
              <w:t>PORTO DA FOLHA</w:t>
            </w:r>
          </w:p>
        </w:tc>
      </w:tr>
      <w:tr w:rsidR="00B527A6" w:rsidRPr="00B44A39" w:rsidTr="008A09AE">
        <w:tc>
          <w:tcPr>
            <w:tcW w:w="2127" w:type="dxa"/>
          </w:tcPr>
          <w:p w:rsidR="00B527A6" w:rsidRPr="00B44A39" w:rsidRDefault="00B44A39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44A39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B44A39" w:rsidRDefault="00B44A39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B44A39">
              <w:rPr>
                <w:rFonts w:ascii="Arial Narrow" w:hAnsi="Arial Narrow"/>
                <w:sz w:val="22"/>
                <w:szCs w:val="22"/>
              </w:rPr>
              <w:t>APOIO FINANCEIRO PARA DESPESAS DE CUSTEIO</w:t>
            </w:r>
          </w:p>
        </w:tc>
      </w:tr>
      <w:tr w:rsidR="00101C4D" w:rsidRPr="00B44A39" w:rsidTr="008A09AE">
        <w:tc>
          <w:tcPr>
            <w:tcW w:w="2127" w:type="dxa"/>
          </w:tcPr>
          <w:p w:rsidR="00101C4D" w:rsidRPr="00B44A39" w:rsidRDefault="00B44A39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44A39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512360" w:rsidRPr="00B44A39" w:rsidRDefault="00B44A39" w:rsidP="00512360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44A39">
              <w:rPr>
                <w:rFonts w:ascii="Arial Narrow" w:hAnsi="Arial Narrow"/>
                <w:sz w:val="22"/>
                <w:szCs w:val="22"/>
              </w:rPr>
              <w:t>PARECER JURÍDICO/PGE Nº 3103/2023</w:t>
            </w:r>
          </w:p>
          <w:p w:rsidR="00101C4D" w:rsidRPr="00B44A39" w:rsidRDefault="00B44A39" w:rsidP="0042436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44A39">
              <w:rPr>
                <w:rFonts w:ascii="Arial Narrow" w:hAnsi="Arial Narrow"/>
                <w:sz w:val="22"/>
                <w:szCs w:val="22"/>
              </w:rPr>
              <w:t>DESPACHO MOTIVADO/PGE Nº 3189/2023</w:t>
            </w:r>
          </w:p>
        </w:tc>
      </w:tr>
      <w:tr w:rsidR="00790057" w:rsidRPr="00B44A39" w:rsidTr="008A09AE">
        <w:tc>
          <w:tcPr>
            <w:tcW w:w="2127" w:type="dxa"/>
          </w:tcPr>
          <w:p w:rsidR="00790057" w:rsidRPr="00B44A39" w:rsidRDefault="00B44A39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44A39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B44A39" w:rsidRDefault="00B44A39" w:rsidP="00A120F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4A39">
              <w:rPr>
                <w:rFonts w:ascii="Arial Narrow" w:hAnsi="Arial Narrow"/>
                <w:sz w:val="22"/>
                <w:szCs w:val="22"/>
              </w:rPr>
              <w:t>R$ 30.000,00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</w:t>
      </w:r>
      <w:proofErr w:type="gramStart"/>
      <w:r>
        <w:rPr>
          <w:rFonts w:eastAsia="Calibri"/>
          <w:lang w:eastAsia="en-US"/>
        </w:rPr>
        <w:t xml:space="preserve">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</w:t>
      </w:r>
      <w:proofErr w:type="gramEnd"/>
      <w:r>
        <w:rPr>
          <w:rFonts w:eastAsia="Calibri"/>
          <w:lang w:eastAsia="en-US"/>
        </w:rPr>
        <w:t xml:space="preserve">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</w:t>
      </w:r>
      <w:r>
        <w:rPr>
          <w:color w:val="000000"/>
          <w:lang w:eastAsia="pt-BR"/>
        </w:rPr>
        <w:lastRenderedPageBreak/>
        <w:t xml:space="preserve">de colaboração (ou de fomento) com verba oriunda de emenda parlamentar 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</w:t>
      </w:r>
      <w:proofErr w:type="gramStart"/>
      <w:r>
        <w:rPr>
          <w:color w:val="000000"/>
          <w:lang w:eastAsia="pt-BR"/>
        </w:rPr>
        <w:t>reconhecer,</w:t>
      </w:r>
      <w:proofErr w:type="gramEnd"/>
      <w:r>
        <w:rPr>
          <w:color w:val="000000"/>
          <w:lang w:eastAsia="pt-BR"/>
        </w:rPr>
        <w:t xml:space="preserve">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</w:t>
      </w:r>
      <w:proofErr w:type="gramStart"/>
      <w:r w:rsidRPr="00CF56E2">
        <w:rPr>
          <w:color w:val="000000"/>
          <w:lang w:eastAsia="pt-BR"/>
        </w:rPr>
        <w:t>envolvam</w:t>
      </w:r>
      <w:proofErr w:type="gramEnd"/>
      <w:r w:rsidRPr="00CF56E2">
        <w:rPr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</w:t>
      </w:r>
      <w:proofErr w:type="gramStart"/>
      <w:r>
        <w:t>transferidos para a conta (remunerada) da Entidade, vinculada</w:t>
      </w:r>
      <w:proofErr w:type="gramEnd"/>
      <w:r>
        <w:t xml:space="preserve">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proofErr w:type="gramStart"/>
      <w:r>
        <w:rPr>
          <w:rFonts w:eastAsia="Calibri"/>
          <w:lang w:eastAsia="en-US"/>
        </w:rPr>
        <w:t>a presente</w:t>
      </w:r>
      <w:proofErr w:type="gramEnd"/>
      <w:r>
        <w:rPr>
          <w:rFonts w:eastAsia="Calibri"/>
          <w:lang w:eastAsia="en-US"/>
        </w:rPr>
        <w:t xml:space="preserve">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81E" w:rsidRDefault="002E581E">
      <w:r>
        <w:separator/>
      </w:r>
    </w:p>
  </w:endnote>
  <w:endnote w:type="continuationSeparator" w:id="0">
    <w:p w:rsidR="002E581E" w:rsidRDefault="002E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81E" w:rsidRDefault="002E581E">
      <w:r>
        <w:separator/>
      </w:r>
    </w:p>
  </w:footnote>
  <w:footnote w:type="continuationSeparator" w:id="0">
    <w:p w:rsidR="002E581E" w:rsidRDefault="002E5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63.4pt" o:ole="">
          <v:imagedata r:id="rId1" o:title=""/>
        </v:shape>
        <o:OLEObject Type="Embed" ProgID="CorelPhotoPaint.Image.12" ShapeID="_x0000_i1025" DrawAspect="Content" ObjectID="_1756015740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81E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2360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269C9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44A39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15C73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1BAB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3B52"/>
    <w:rsid w:val="00E84D46"/>
    <w:rsid w:val="00E8727A"/>
    <w:rsid w:val="00E8753E"/>
    <w:rsid w:val="00E87766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60348-E987-4E25-B09E-8982F883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1250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4</cp:revision>
  <cp:lastPrinted>2022-06-03T12:36:00Z</cp:lastPrinted>
  <dcterms:created xsi:type="dcterms:W3CDTF">2023-09-12T12:09:00Z</dcterms:created>
  <dcterms:modified xsi:type="dcterms:W3CDTF">2023-09-12T12:23:00Z</dcterms:modified>
</cp:coreProperties>
</file>