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6A392C" w:rsidP="00597A2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7</w:t>
            </w:r>
            <w:r w:rsidR="00861B6D">
              <w:rPr>
                <w:rStyle w:val="txtbold"/>
                <w:rFonts w:ascii="Arial" w:hAnsi="Arial" w:cs="Arial"/>
              </w:rPr>
              <w:t>3</w:t>
            </w:r>
            <w:r w:rsidR="00597A23">
              <w:rPr>
                <w:rStyle w:val="txtbold"/>
                <w:rFonts w:ascii="Arial" w:hAnsi="Arial" w:cs="Arial"/>
              </w:rPr>
              <w:t>6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861B6D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861B6D" w:rsidRDefault="00323D74" w:rsidP="004262B4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61B6D">
              <w:rPr>
                <w:rStyle w:val="whitespacewrap"/>
                <w:rFonts w:ascii="Arial" w:hAnsi="Arial" w:cs="Arial"/>
              </w:rPr>
              <w:t xml:space="preserve">DEPUTADO </w:t>
            </w:r>
            <w:r w:rsidR="004262B4" w:rsidRPr="00861B6D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861B6D" w:rsidRDefault="00861B6D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proofErr w:type="gramStart"/>
            <w:r w:rsidRPr="00861B6D">
              <w:rPr>
                <w:rStyle w:val="whitespacewrap"/>
                <w:rFonts w:ascii="Arial" w:hAnsi="Arial" w:cs="Arial"/>
              </w:rPr>
              <w:t>ASSOCIAÇÃO DE ASSISTÊNCIA COMUNITÁRIO</w:t>
            </w:r>
            <w:proofErr w:type="gramEnd"/>
            <w:r w:rsidRPr="00861B6D">
              <w:rPr>
                <w:rStyle w:val="whitespacewrap"/>
                <w:rFonts w:ascii="Arial" w:hAnsi="Arial" w:cs="Arial"/>
              </w:rPr>
              <w:t xml:space="preserve"> E DESENVOLVIMENTO SOCIAL E CULTURAL VOVÔ MONTEIRO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861B6D" w:rsidRDefault="00861B6D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861B6D">
              <w:rPr>
                <w:rFonts w:ascii="Arial" w:hAnsi="Arial" w:cs="Arial"/>
              </w:rPr>
              <w:t>02.649.025/0001-46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861B6D" w:rsidRDefault="00861B6D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861B6D">
              <w:rPr>
                <w:rFonts w:ascii="Arial" w:hAnsi="Arial" w:cs="Arial"/>
              </w:rPr>
              <w:t>Av. Cel. Francisco Garcez, 63, Centro, no município de Lagarto/SE, CEP: 49.400-</w:t>
            </w:r>
            <w:proofErr w:type="gramStart"/>
            <w:r w:rsidRPr="00861B6D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256C43" w:rsidRDefault="00861B6D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256C43">
              <w:rPr>
                <w:rFonts w:ascii="Arial" w:eastAsia="Calibri" w:hAnsi="Arial" w:cs="Arial"/>
                <w:bCs/>
              </w:rPr>
              <w:t>LAGARTO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256C43" w:rsidRDefault="00256C43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256C43">
              <w:rPr>
                <w:rFonts w:ascii="Arial" w:hAnsi="Arial" w:cs="Arial"/>
              </w:rPr>
              <w:t>LOCAÇÃO DE HORAS MÁQUINA TRATOR AGRÍCOLA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256C43" w:rsidRDefault="00323D74" w:rsidP="00BA293C">
            <w:pPr>
              <w:spacing w:line="276" w:lineRule="auto"/>
              <w:rPr>
                <w:rFonts w:ascii="Arial" w:hAnsi="Arial" w:cs="Arial"/>
                <w:bCs/>
              </w:rPr>
            </w:pPr>
            <w:r w:rsidRPr="00256C43">
              <w:rPr>
                <w:rFonts w:ascii="Arial" w:hAnsi="Arial" w:cs="Arial"/>
                <w:bCs/>
              </w:rPr>
              <w:t>PARECER JURÍDICO/PGE Nº</w:t>
            </w:r>
            <w:r w:rsidR="007A6624" w:rsidRPr="00256C43">
              <w:rPr>
                <w:rFonts w:ascii="Arial" w:hAnsi="Arial" w:cs="Arial"/>
                <w:bCs/>
              </w:rPr>
              <w:t xml:space="preserve"> </w:t>
            </w:r>
            <w:r w:rsidR="00861B6D" w:rsidRPr="00256C43">
              <w:rPr>
                <w:rFonts w:ascii="Arial" w:hAnsi="Arial" w:cs="Arial"/>
                <w:bCs/>
              </w:rPr>
              <w:t>740</w:t>
            </w:r>
            <w:r w:rsidR="00BA293C" w:rsidRPr="00256C43">
              <w:rPr>
                <w:rFonts w:ascii="Arial" w:hAnsi="Arial" w:cs="Arial"/>
                <w:bCs/>
              </w:rPr>
              <w:t>3</w:t>
            </w:r>
            <w:r w:rsidR="00677530" w:rsidRPr="00256C43">
              <w:rPr>
                <w:rFonts w:ascii="Arial" w:hAnsi="Arial" w:cs="Arial"/>
                <w:bCs/>
              </w:rPr>
              <w:t>/202</w:t>
            </w:r>
            <w:r w:rsidR="00F70B13" w:rsidRPr="00256C43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61B6D" w:rsidRDefault="00323D74" w:rsidP="00BA293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61B6D">
              <w:rPr>
                <w:rFonts w:ascii="Arial" w:hAnsi="Arial" w:cs="Arial"/>
                <w:bCs/>
              </w:rPr>
              <w:t xml:space="preserve">R$ </w:t>
            </w:r>
            <w:r w:rsidR="00BA293C">
              <w:rPr>
                <w:rFonts w:ascii="Arial" w:hAnsi="Arial" w:cs="Arial"/>
                <w:bCs/>
              </w:rPr>
              <w:t>150.000,00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F4" w:rsidRDefault="00E72AF4">
      <w:r>
        <w:separator/>
      </w:r>
    </w:p>
  </w:endnote>
  <w:endnote w:type="continuationSeparator" w:id="0">
    <w:p w:rsidR="00E72AF4" w:rsidRDefault="00E7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F4" w:rsidRDefault="00E72AF4">
      <w:r>
        <w:separator/>
      </w:r>
    </w:p>
  </w:footnote>
  <w:footnote w:type="continuationSeparator" w:id="0">
    <w:p w:rsidR="00E72AF4" w:rsidRDefault="00E7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95949008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2BDA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4FF6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56C43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2B4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97A23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0083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392C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1B6D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552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1570F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293C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1FCD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5B7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3A45F-AA40-4924-8693-5A50CB5A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2024-12-17T16:51:00Z</dcterms:created>
  <dcterms:modified xsi:type="dcterms:W3CDTF">2024-12-17T16:57:00Z</dcterms:modified>
</cp:coreProperties>
</file>